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6concolores-nfasis1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8896"/>
      </w:tblGrid>
      <w:tr w:rsidR="004F0AC8" w:rsidRPr="00BC29BD" w14:paraId="09DFC430" w14:textId="77777777" w:rsidTr="00887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840D2FB" w14:textId="77777777" w:rsidR="004F0AC8" w:rsidRPr="004F0AC8" w:rsidRDefault="004F0AC8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 w:rsidRPr="004F0AC8"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t>Título del Proyecto</w:t>
            </w:r>
          </w:p>
        </w:tc>
        <w:tc>
          <w:tcPr>
            <w:tcW w:w="8896" w:type="dxa"/>
          </w:tcPr>
          <w:p w14:paraId="09EAA59A" w14:textId="77777777" w:rsidR="004F0AC8" w:rsidRPr="00FC6287" w:rsidRDefault="00757CF0" w:rsidP="00757CF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val="en-US" w:eastAsia="es-ES"/>
              </w:rPr>
            </w:pPr>
            <w:r w:rsidRPr="00757CF0">
              <w:rPr>
                <w:rFonts w:ascii="Arial" w:eastAsia="Times New Roman" w:hAnsi="Arial" w:cs="Arial"/>
                <w:sz w:val="28"/>
                <w:szCs w:val="28"/>
                <w:lang w:val="en-US" w:eastAsia="es-ES"/>
              </w:rPr>
              <w:t>Linking the actin-binding protein cofilin and</w:t>
            </w:r>
            <w:r>
              <w:rPr>
                <w:rFonts w:ascii="Arial" w:eastAsia="Times New Roman" w:hAnsi="Arial" w:cs="Arial"/>
                <w:sz w:val="28"/>
                <w:szCs w:val="2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28"/>
                <w:szCs w:val="28"/>
                <w:lang w:val="en-US" w:eastAsia="es-ES"/>
              </w:rPr>
              <w:t>calcium deregulation: a precision approach for the treatment of Friedreich’s ataxia.</w:t>
            </w:r>
          </w:p>
        </w:tc>
      </w:tr>
      <w:tr w:rsidR="00484B5B" w14:paraId="6671658B" w14:textId="77777777" w:rsidTr="00887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876249A" w14:textId="77777777" w:rsidR="00484B5B" w:rsidRPr="00375795" w:rsidRDefault="00484B5B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 w:rsidRPr="00375795"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t xml:space="preserve">Nº de expediente asignado </w:t>
            </w:r>
          </w:p>
        </w:tc>
        <w:tc>
          <w:tcPr>
            <w:tcW w:w="8896" w:type="dxa"/>
          </w:tcPr>
          <w:p w14:paraId="17670682" w14:textId="77777777" w:rsidR="00484B5B" w:rsidRPr="00757CF0" w:rsidRDefault="00757CF0" w:rsidP="00484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57C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PID2020-115190RB-100</w:t>
            </w:r>
          </w:p>
        </w:tc>
      </w:tr>
      <w:tr w:rsidR="00484B5B" w:rsidRPr="00BC29BD" w14:paraId="79D8BBD4" w14:textId="77777777" w:rsidTr="008879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75167CE" w14:textId="77777777" w:rsidR="00484B5B" w:rsidRPr="00375795" w:rsidRDefault="008C3C21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t>Abstract</w:t>
            </w:r>
          </w:p>
        </w:tc>
        <w:tc>
          <w:tcPr>
            <w:tcW w:w="8896" w:type="dxa"/>
          </w:tcPr>
          <w:p w14:paraId="7908094C" w14:textId="77777777" w:rsidR="00757CF0" w:rsidRPr="00757CF0" w:rsidRDefault="00757CF0" w:rsidP="00757C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Friedreich’s ataxia (FRDA) is a rare disease characterized by the degeneration of the large sensory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neurons at the dorsal root ganglia (DRG), in charge of proprioception and sense of positioning. The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cause of this disease is the lack of frataxin, a mitochondrial protein that has been frequently associated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with an increase in reactive oxygen species (ROS) and has an important role in proper calcium (Ca2+)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handling. The imbalance of this ion has a direct effect in neurons, such as in the formation of multiple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axonal spheroids. Concretely, frataxin-silenced cells showed an impairment in Ca2+ buffering, </w:t>
            </w:r>
            <w:proofErr w:type="gramStart"/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as a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consequence of</w:t>
            </w:r>
            <w:proofErr w:type="gramEnd"/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reduced mitochondrial Ca2+ uptake capacity due to an impairment of the interactions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between endoplasmic reticulum (ER) and mitochondria (MAMs). In previous projects we have describe</w:t>
            </w:r>
          </w:p>
          <w:p w14:paraId="4459A30B" w14:textId="77777777" w:rsidR="00757CF0" w:rsidRPr="00757CF0" w:rsidRDefault="00757CF0" w:rsidP="00757C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the presence of frataxin also in MAMs, in addition to a clear and robust direct relation of this protein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with GRP75 and IP3R, proteins with an important role in ER-mitochondrial interactions. These results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suggest a pivotal role of frataxin in the regulation and maintenance of this protein network.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Improvement of mitochondrial Ca2+ uptake in frataxin-deficient cells after antioxidant treatment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(Trolox and NAC) matches with the ER-mitochondrial contacts interactions recovery. Because of that,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any compound with a specific mechanism of action in the MAMs’ domain could be interesting as a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therapeutical approach for FRDA. This is the case of Fluvoxamine (</w:t>
            </w:r>
            <w:proofErr w:type="spellStart"/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Flv</w:t>
            </w:r>
            <w:proofErr w:type="spellEnd"/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), a selective serotonin reuptake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inhibitor with high affinity for Sigma-1R. </w:t>
            </w:r>
            <w:proofErr w:type="spellStart"/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Flv</w:t>
            </w:r>
            <w:proofErr w:type="spellEnd"/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treatment rescue the impaired mitochondrial Ca2+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buffering in our cellular model of FRDA.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Abnormalities in actin cytoskeleton have been linked to FRDA, and Ca2+ imbalance can trigger the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cytoskeletal disorganization. We have demonstrated that cofilin dysregulation, an </w:t>
            </w:r>
            <w:proofErr w:type="spellStart"/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actin</w:t>
            </w:r>
            <w:proofErr w:type="spellEnd"/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-binding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protein, affects the dynamics of growth cones and neurite growth. Thus, cofilin emerges, for the first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time, as a link between frataxin deficiency and actin cytoskeleton alterations. In healthy cells, actin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polymerization is important to maintain the ER-mitochondria contact sites and trafficking, leading to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a vicious circle when alteration appears. Recent findings describe a novel role of actin dynamics in the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regulation of mitochondrial morphology and function. Here cofilin acquires an important role because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of its capacity of altering actin turnover, especially under cellular stress situations.</w:t>
            </w:r>
          </w:p>
          <w:p w14:paraId="3DD0AF58" w14:textId="77777777" w:rsidR="00757CF0" w:rsidRPr="00757CF0" w:rsidRDefault="00757CF0" w:rsidP="00757C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So, we will study whether cofilin is able to affect ER-mitochondrial contacts and thereby controlling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ER-mitochondrial Ca2+ transfer, acquiring a direct role in the mitochondrial dysfunction described in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the FRDA cells. Moreover, cofilin dysregulation also triggers cofilin-actin rods formation, which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contribute to the degenerative processes.</w:t>
            </w:r>
          </w:p>
          <w:p w14:paraId="09E38E5A" w14:textId="77777777" w:rsidR="00484B5B" w:rsidRPr="00757CF0" w:rsidRDefault="00757CF0" w:rsidP="00757C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Our hypothesis is that the critical event in the progression of FRDA pathology is the reduction of the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interactions between mitochondria and ER. The restoration of these interactions offers a new research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field regarding MAMs as therapeutic targets. We propose cofilin, cofilin modulators and Ca2+ flux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stimulators as good targets, whose modulation could improve cellular pathophysiology.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To confirm this, we propose to perform three pre-clinical trial in a mouse model of FRDA, in addition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to different assays using cellular models of the disease.</w:t>
            </w:r>
          </w:p>
        </w:tc>
      </w:tr>
      <w:tr w:rsidR="00484B5B" w14:paraId="315C3E7B" w14:textId="77777777" w:rsidTr="00887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AAAA982" w14:textId="77777777" w:rsidR="00484B5B" w:rsidRPr="00375795" w:rsidRDefault="00484B5B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 w:rsidRPr="00375795"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t>Entidad Financiadora</w:t>
            </w:r>
          </w:p>
        </w:tc>
        <w:tc>
          <w:tcPr>
            <w:tcW w:w="8896" w:type="dxa"/>
          </w:tcPr>
          <w:p w14:paraId="50358C82" w14:textId="77777777" w:rsidR="00484B5B" w:rsidRPr="00757CF0" w:rsidRDefault="00757CF0" w:rsidP="00484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57C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Ministerio de Ciencia e Innovación (MCIN) / Agencia Estatal de Investigación (AEI)</w:t>
            </w:r>
          </w:p>
        </w:tc>
      </w:tr>
      <w:tr w:rsidR="004F0AC8" w14:paraId="5EAE8D3A" w14:textId="77777777" w:rsidTr="008879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AD5B3B3" w14:textId="77777777" w:rsidR="004F0AC8" w:rsidRPr="004F0AC8" w:rsidRDefault="004F0AC8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 w:rsidRPr="004F0AC8"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lastRenderedPageBreak/>
              <w:t>Convocatoria:</w:t>
            </w:r>
          </w:p>
        </w:tc>
        <w:tc>
          <w:tcPr>
            <w:tcW w:w="8896" w:type="dxa"/>
          </w:tcPr>
          <w:p w14:paraId="335BAAA7" w14:textId="77777777" w:rsidR="004F0AC8" w:rsidRPr="00757CF0" w:rsidRDefault="00757CF0" w:rsidP="00757C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57C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Convocatoria de Proyectos de I+D+i», en el marco del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Programa Estatal de Generación de Conocimiento y Fortalecimiento Científico y Tecnológico del Sistema de I+D+i y del Programa Estatal de I+D+i Orientada a los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757C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Retos de la Sociedad, del Plan Estatal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</w:t>
            </w:r>
            <w:r w:rsidRPr="00757C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nvestigación Científica y Técnica y de Innovación 2017-2020.</w:t>
            </w:r>
          </w:p>
        </w:tc>
      </w:tr>
      <w:tr w:rsidR="00484B5B" w14:paraId="7F08FE8D" w14:textId="77777777" w:rsidTr="00887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96CCBA0" w14:textId="77777777" w:rsidR="00484B5B" w:rsidRPr="00375795" w:rsidRDefault="00484B5B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 w:rsidRPr="00375795"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t>Importe de la ayuda</w:t>
            </w:r>
          </w:p>
        </w:tc>
        <w:tc>
          <w:tcPr>
            <w:tcW w:w="8896" w:type="dxa"/>
          </w:tcPr>
          <w:p w14:paraId="0DCCA600" w14:textId="77777777" w:rsidR="00484B5B" w:rsidRPr="007F082B" w:rsidRDefault="007F082B" w:rsidP="00484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F082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193.600,00 €</w:t>
            </w:r>
          </w:p>
        </w:tc>
      </w:tr>
      <w:tr w:rsidR="00484B5B" w14:paraId="49723AF2" w14:textId="77777777" w:rsidTr="008879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71A5C0A" w14:textId="77777777" w:rsidR="00484B5B" w:rsidRPr="00375795" w:rsidRDefault="00484B5B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 w:rsidRPr="00375795"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t>Fechas de ejecución del proyecto</w:t>
            </w:r>
          </w:p>
        </w:tc>
        <w:tc>
          <w:tcPr>
            <w:tcW w:w="8896" w:type="dxa"/>
          </w:tcPr>
          <w:p w14:paraId="6949A600" w14:textId="77777777" w:rsidR="00484B5B" w:rsidRDefault="007F082B" w:rsidP="0048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8879E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01/09/2021-31/08/2024</w:t>
            </w:r>
          </w:p>
        </w:tc>
      </w:tr>
      <w:tr w:rsidR="00484B5B" w14:paraId="38B603A1" w14:textId="77777777" w:rsidTr="00887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E4C33CD" w14:textId="77777777" w:rsidR="00484B5B" w:rsidRPr="00AB2967" w:rsidRDefault="00484B5B" w:rsidP="00484B5B">
            <w:pPr>
              <w:rPr>
                <w:rFonts w:ascii="Arial" w:eastAsia="Times New Roman" w:hAnsi="Arial" w:cs="Arial"/>
                <w:b w:val="0"/>
                <w:bCs w:val="0"/>
                <w:i/>
                <w:sz w:val="24"/>
                <w:szCs w:val="28"/>
                <w:lang w:eastAsia="es-ES"/>
              </w:rPr>
            </w:pPr>
          </w:p>
        </w:tc>
        <w:tc>
          <w:tcPr>
            <w:tcW w:w="8896" w:type="dxa"/>
          </w:tcPr>
          <w:p w14:paraId="7A4B6030" w14:textId="07B77FE9" w:rsidR="00484B5B" w:rsidRPr="008879EF" w:rsidRDefault="008879EF" w:rsidP="00FC6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879E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Proyecto </w:t>
            </w:r>
            <w:r w:rsidRPr="008879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PID2020-115190RB-100</w:t>
            </w:r>
            <w:r w:rsidRPr="008879E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financiado por:</w:t>
            </w:r>
          </w:p>
        </w:tc>
      </w:tr>
      <w:tr w:rsidR="00484B5B" w14:paraId="7395B773" w14:textId="77777777" w:rsidTr="008879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9B60A6F" w14:textId="77777777" w:rsidR="00484B5B" w:rsidRPr="00375795" w:rsidRDefault="00484B5B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</w:p>
        </w:tc>
        <w:tc>
          <w:tcPr>
            <w:tcW w:w="8896" w:type="dxa"/>
          </w:tcPr>
          <w:p w14:paraId="17BB2117" w14:textId="77777777" w:rsidR="00FC6287" w:rsidRPr="00AB2967" w:rsidRDefault="00FC6287" w:rsidP="0048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</w:rPr>
            </w:pPr>
          </w:p>
          <w:p w14:paraId="3D145F96" w14:textId="3CF0D320" w:rsidR="00FC6287" w:rsidRPr="00AB2967" w:rsidRDefault="008879EF" w:rsidP="0048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8"/>
                <w:szCs w:val="28"/>
                <w:lang w:eastAsia="es-ES"/>
              </w:rPr>
            </w:pPr>
            <w:r>
              <w:rPr>
                <w:noProof/>
              </w:rPr>
              <w:drawing>
                <wp:inline distT="0" distB="0" distL="0" distR="0" wp14:anchorId="7DE036F5" wp14:editId="1DA94805">
                  <wp:extent cx="4791075" cy="11334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A3DA54" w14:textId="77777777" w:rsidR="00FC6287" w:rsidRPr="00AB2967" w:rsidRDefault="00FC6287" w:rsidP="0048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8"/>
                <w:szCs w:val="28"/>
                <w:lang w:eastAsia="es-ES"/>
              </w:rPr>
            </w:pPr>
          </w:p>
          <w:p w14:paraId="15FBAFD8" w14:textId="77777777" w:rsidR="00FC6287" w:rsidRPr="00AB2967" w:rsidRDefault="00FC6287" w:rsidP="0048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8"/>
                <w:szCs w:val="28"/>
                <w:lang w:eastAsia="es-ES"/>
              </w:rPr>
            </w:pPr>
          </w:p>
        </w:tc>
      </w:tr>
      <w:tr w:rsidR="00375795" w14:paraId="7B10C647" w14:textId="77777777" w:rsidTr="00887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1ABA9A4" w14:textId="77777777" w:rsidR="00375795" w:rsidRPr="00375795" w:rsidRDefault="008C3C21" w:rsidP="00375795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t xml:space="preserve">Enlaces: </w:t>
            </w:r>
          </w:p>
        </w:tc>
        <w:tc>
          <w:tcPr>
            <w:tcW w:w="8896" w:type="dxa"/>
          </w:tcPr>
          <w:p w14:paraId="2777E907" w14:textId="2EA61CA5" w:rsidR="005C4FD9" w:rsidRDefault="008879EF" w:rsidP="00484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Grupo CIBER: </w:t>
            </w:r>
            <w:hyperlink r:id="rId6" w:history="1">
              <w:r w:rsidRPr="00325817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ES"/>
                </w:rPr>
                <w:t>https://www.ciberisciii.es/areas-tematicas/grupo-de-investigacion?id=17121</w:t>
              </w:r>
            </w:hyperlink>
          </w:p>
          <w:p w14:paraId="4197E3F3" w14:textId="629D3DA0" w:rsidR="008879EF" w:rsidRPr="008879EF" w:rsidRDefault="008879EF" w:rsidP="00484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14:paraId="4D938C4D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307A3F37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5CD7E144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60E9E80F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0878790B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10C85C90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7193B150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4A064252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6D2B3228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2D3017BA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290B0354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268B6F4E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4E39C93E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19EA3B6C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49F6674A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0CE55F8C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568F3348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4EAF3E8D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33FF888E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6D26878D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7A2B0F80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60FE9543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21B11D9C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22C99D3A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2BA16C59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6AC66799" w14:textId="77777777" w:rsid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58814D8B" w14:textId="77777777" w:rsidR="00484B5B" w:rsidRPr="00484B5B" w:rsidRDefault="00484B5B" w:rsidP="00484B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7388BC2A" w14:textId="77777777" w:rsidR="00C645C6" w:rsidRDefault="00C645C6"/>
    <w:sectPr w:rsidR="00C645C6" w:rsidSect="00484B5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5B"/>
    <w:rsid w:val="00375795"/>
    <w:rsid w:val="00484B5B"/>
    <w:rsid w:val="004F0AC8"/>
    <w:rsid w:val="00536811"/>
    <w:rsid w:val="005C4FD9"/>
    <w:rsid w:val="006243D8"/>
    <w:rsid w:val="00757CF0"/>
    <w:rsid w:val="0079075B"/>
    <w:rsid w:val="007F082B"/>
    <w:rsid w:val="008879EF"/>
    <w:rsid w:val="008B7B2E"/>
    <w:rsid w:val="008C3C21"/>
    <w:rsid w:val="00AB2967"/>
    <w:rsid w:val="00BC29BD"/>
    <w:rsid w:val="00C645C6"/>
    <w:rsid w:val="00D912A4"/>
    <w:rsid w:val="00FC6287"/>
    <w:rsid w:val="00F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6B01"/>
  <w15:chartTrackingRefBased/>
  <w15:docId w15:val="{D0933940-5059-493A-8028-A5CA4253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484B5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3-nfasis1">
    <w:name w:val="Grid Table 3 Accent 1"/>
    <w:basedOn w:val="Tablanormal"/>
    <w:uiPriority w:val="48"/>
    <w:rsid w:val="00484B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6concolores-nfasis1">
    <w:name w:val="Grid Table 6 Colorful Accent 1"/>
    <w:basedOn w:val="Tablanormal"/>
    <w:uiPriority w:val="51"/>
    <w:rsid w:val="0037579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5C4F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4FD9"/>
    <w:rPr>
      <w:color w:val="808080"/>
      <w:shd w:val="clear" w:color="auto" w:fill="E6E6E6"/>
    </w:rPr>
  </w:style>
  <w:style w:type="paragraph" w:customStyle="1" w:styleId="Default">
    <w:name w:val="Default"/>
    <w:rsid w:val="007F0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iberisciii.es/areas-tematicas/grupo-de-investigacion?id=171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EC977-C23D-461E-9EBC-9F769DCB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Rocío [Ciberisciii]</dc:creator>
  <cp:keywords/>
  <dc:description/>
  <cp:lastModifiedBy>Moreno, Rocío [Ciberisciii]</cp:lastModifiedBy>
  <cp:revision>2</cp:revision>
  <dcterms:created xsi:type="dcterms:W3CDTF">2021-10-07T12:38:00Z</dcterms:created>
  <dcterms:modified xsi:type="dcterms:W3CDTF">2021-10-07T12:38:00Z</dcterms:modified>
</cp:coreProperties>
</file>