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8896"/>
      </w:tblGrid>
      <w:tr w:rsidR="004F0AC8" w:rsidRPr="00BC29BD" w14:paraId="09DFC430" w14:textId="77777777" w:rsidTr="00887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840D2FB" w14:textId="77777777"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Título del Proyecto</w:t>
            </w:r>
          </w:p>
        </w:tc>
        <w:tc>
          <w:tcPr>
            <w:tcW w:w="8896" w:type="dxa"/>
          </w:tcPr>
          <w:p w14:paraId="09EAA59A" w14:textId="77777777" w:rsidR="004F0AC8" w:rsidRPr="00FC6287" w:rsidRDefault="00757CF0" w:rsidP="00757C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757CF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Linking the actin-binding protein cofilin and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calcium deregulation: a precision approach for the treatment of Friedreich’s ataxia.</w:t>
            </w:r>
          </w:p>
        </w:tc>
      </w:tr>
      <w:tr w:rsidR="00484B5B" w14:paraId="6671658B" w14:textId="77777777" w:rsidTr="0088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876249A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Nº de expediente asignado </w:t>
            </w:r>
          </w:p>
        </w:tc>
        <w:tc>
          <w:tcPr>
            <w:tcW w:w="8896" w:type="dxa"/>
          </w:tcPr>
          <w:p w14:paraId="17670682" w14:textId="77777777" w:rsidR="00484B5B" w:rsidRPr="00757CF0" w:rsidRDefault="00757CF0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57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PID2020-115190RB-100</w:t>
            </w:r>
          </w:p>
        </w:tc>
      </w:tr>
      <w:tr w:rsidR="00484B5B" w:rsidRPr="00BC29BD" w14:paraId="79D8BBD4" w14:textId="77777777" w:rsidTr="00887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75167CE" w14:textId="77777777" w:rsidR="00484B5B" w:rsidRPr="00375795" w:rsidRDefault="008C3C21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Abstract</w:t>
            </w:r>
          </w:p>
        </w:tc>
        <w:tc>
          <w:tcPr>
            <w:tcW w:w="8896" w:type="dxa"/>
          </w:tcPr>
          <w:p w14:paraId="7908094C" w14:textId="77777777" w:rsidR="00757CF0" w:rsidRPr="00757CF0" w:rsidRDefault="00757CF0" w:rsidP="00757C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Friedreich’s ataxia (FRDA) is a rare disease characterized by the degeneration of the large sensory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neurons at the dorsal root ganglia (DRG), in charge of proprioception and sense of positioning. The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cause of this disease is the lack of frataxin, a mitochondrial protein that has been frequently associated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with an increase in reactive oxygen species (ROS) and has an important role in proper calcium (Ca2+)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handling. The imbalance of this ion has a direct effect in neurons, such as in the formation of multiple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axonal spheroids. Concretely, frataxin-silenced cells showed an impairment in Ca2+ buffering, </w:t>
            </w:r>
            <w:proofErr w:type="gramStart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as a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consequence of</w:t>
            </w:r>
            <w:proofErr w:type="gramEnd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reduced mitochondrial Ca2+ uptake capacity due to an impairment of the interactions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between endoplasmic reticulum (ER) and mitochondria (MAMs). In previous projects we have describe</w:t>
            </w:r>
          </w:p>
          <w:p w14:paraId="4459A30B" w14:textId="77777777" w:rsidR="00757CF0" w:rsidRPr="00757CF0" w:rsidRDefault="00757CF0" w:rsidP="00757C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the presence of frataxin also in MAMs, in addition to a clear and robust direct relation of this protein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with GRP75 and IP3R, proteins with an important role in ER-mitochondrial interactions. These results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suggest a pivotal role of frataxin in the regulation and maintenance of this protein network.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Improvement of mitochondrial Ca2+ uptake in frataxin-deficient cells after antioxidant treatment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(Trolox and NAC) matches with the ER-mitochondrial contacts interactions recovery. Because of that,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any compound with a specific mechanism of action in the MAMs’ domain could be interesting as a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therapeutical approach for FRDA. This is the case of Fluvoxamine (</w:t>
            </w:r>
            <w:proofErr w:type="spellStart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Flv</w:t>
            </w:r>
            <w:proofErr w:type="spellEnd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), a selective serotonin reuptake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inhibitor with high affinity for Sigma-1R. </w:t>
            </w:r>
            <w:proofErr w:type="spellStart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Flv</w:t>
            </w:r>
            <w:proofErr w:type="spellEnd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treatment rescue the impaired mitochondrial Ca2+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buffering in our cellular model of FRDA.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Abnormalities in actin cytoskeleton have been linked to FRDA, and Ca2+ imbalance can trigger the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cytoskeletal disorganization. We have demonstrated that cofilin dysregulation, an </w:t>
            </w:r>
            <w:proofErr w:type="spellStart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actin</w:t>
            </w:r>
            <w:proofErr w:type="spellEnd"/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-binding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protein, affects the dynamics of growth cones and neurite growth. Thus, cofilin emerges, for the first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time, as a link between frataxin deficiency and actin cytoskeleton alterations. In healthy cells, actin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polymerization is important to maintain the ER-mitochondria contact sites and trafficking, leading to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a vicious circle when alteration appears. Recent findings describe a novel role of actin dynamics in the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regulation of mitochondrial morphology and function. Here cofilin acquires an important role because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of its capacity of altering actin turnover, especially under cellular stress situations.</w:t>
            </w:r>
          </w:p>
          <w:p w14:paraId="3DD0AF58" w14:textId="77777777" w:rsidR="00757CF0" w:rsidRPr="00757CF0" w:rsidRDefault="00757CF0" w:rsidP="00757C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So, we will study whether cofilin is able to affect ER-mitochondrial contacts and thereby controlling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ER-mitochondrial Ca2+ transfer, acquiring a direct role in the mitochondrial dysfunction described in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the FRDA cells. Moreover, cofilin dysregulation also triggers cofilin-actin rods formation, which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contribute to the degenerative processes.</w:t>
            </w:r>
          </w:p>
          <w:p w14:paraId="09E38E5A" w14:textId="77777777" w:rsidR="00484B5B" w:rsidRPr="00757CF0" w:rsidRDefault="00757CF0" w:rsidP="00757C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Our hypothesis is that the critical event in the progression of FRDA pathology is the reduction of the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interactions between mitochondria and ER. The restoration of these interactions offers a new research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field regarding MAMs as therapeutic targets. We propose cofilin, cofilin modulators and Ca2+ flux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stimulators as good targets, whose modulation could improve cellular pathophysiology.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To confirm this, we propose to perform three pre-clinical trial in a mouse model of FRDA, in addition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to different assays using cellular models of the disease.</w:t>
            </w:r>
          </w:p>
        </w:tc>
      </w:tr>
      <w:tr w:rsidR="00484B5B" w14:paraId="315C3E7B" w14:textId="77777777" w:rsidTr="0088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AAAA982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Entidad Financiadora</w:t>
            </w:r>
          </w:p>
        </w:tc>
        <w:tc>
          <w:tcPr>
            <w:tcW w:w="8896" w:type="dxa"/>
          </w:tcPr>
          <w:p w14:paraId="50358C82" w14:textId="77777777" w:rsidR="00484B5B" w:rsidRPr="00757CF0" w:rsidRDefault="00757CF0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57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Ministerio de Ciencia e Innovación (MCIN) / Agencia Estatal de Investigación (AEI)</w:t>
            </w:r>
          </w:p>
        </w:tc>
      </w:tr>
      <w:tr w:rsidR="004F0AC8" w14:paraId="5EAE8D3A" w14:textId="77777777" w:rsidTr="00887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AD5B3B3" w14:textId="77777777"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lastRenderedPageBreak/>
              <w:t>Convocatoria:</w:t>
            </w:r>
          </w:p>
        </w:tc>
        <w:tc>
          <w:tcPr>
            <w:tcW w:w="8896" w:type="dxa"/>
          </w:tcPr>
          <w:p w14:paraId="335BAAA7" w14:textId="77777777" w:rsidR="004F0AC8" w:rsidRPr="00757CF0" w:rsidRDefault="00757CF0" w:rsidP="00757C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57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Convocatoria de Proyectos de I+D+i», en el marco del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 Estatal de Generación de Conocimiento y Fortalecimiento Científico y Tecnológico del Sistema de I+D+i y del Programa Estatal de I+D+i Orientada a los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757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Retos de la Sociedad, del Plan Estatal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  <w:r w:rsidRPr="00757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nvestigación Científica y Técnica y de Innovación 2017-2020.</w:t>
            </w:r>
          </w:p>
        </w:tc>
      </w:tr>
      <w:tr w:rsidR="00484B5B" w14:paraId="7F08FE8D" w14:textId="77777777" w:rsidTr="0088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6CCBA0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Importe de la ayuda</w:t>
            </w:r>
          </w:p>
        </w:tc>
        <w:tc>
          <w:tcPr>
            <w:tcW w:w="8896" w:type="dxa"/>
          </w:tcPr>
          <w:p w14:paraId="0DCCA600" w14:textId="77777777" w:rsidR="00484B5B" w:rsidRPr="007F082B" w:rsidRDefault="007F082B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F0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193.600,00 €</w:t>
            </w:r>
          </w:p>
        </w:tc>
      </w:tr>
      <w:tr w:rsidR="00484B5B" w14:paraId="49723AF2" w14:textId="77777777" w:rsidTr="00887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71A5C0A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Fechas de ejecución del proyecto</w:t>
            </w:r>
          </w:p>
        </w:tc>
        <w:tc>
          <w:tcPr>
            <w:tcW w:w="8896" w:type="dxa"/>
          </w:tcPr>
          <w:p w14:paraId="6949A600" w14:textId="77777777" w:rsidR="00484B5B" w:rsidRDefault="007F082B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879E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01/09/2021-31/08/2024</w:t>
            </w:r>
          </w:p>
        </w:tc>
      </w:tr>
      <w:tr w:rsidR="00484B5B" w14:paraId="38B603A1" w14:textId="77777777" w:rsidTr="0088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E4C33CD" w14:textId="77777777" w:rsidR="00484B5B" w:rsidRPr="00AB2967" w:rsidRDefault="00484B5B" w:rsidP="00484B5B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8"/>
                <w:lang w:eastAsia="es-ES"/>
              </w:rPr>
            </w:pPr>
          </w:p>
        </w:tc>
        <w:tc>
          <w:tcPr>
            <w:tcW w:w="8896" w:type="dxa"/>
          </w:tcPr>
          <w:p w14:paraId="7A4B6030" w14:textId="07B77FE9" w:rsidR="00484B5B" w:rsidRPr="008879EF" w:rsidRDefault="008879EF" w:rsidP="00FC6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879E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Proyecto </w:t>
            </w:r>
            <w:r w:rsidRPr="008879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PID2020-115190RB-100</w:t>
            </w:r>
            <w:r w:rsidRPr="008879E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financiado por:</w:t>
            </w:r>
          </w:p>
        </w:tc>
      </w:tr>
      <w:tr w:rsidR="00484B5B" w14:paraId="7395B773" w14:textId="77777777" w:rsidTr="00887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9B60A6F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</w:p>
        </w:tc>
        <w:tc>
          <w:tcPr>
            <w:tcW w:w="8896" w:type="dxa"/>
          </w:tcPr>
          <w:p w14:paraId="17BB2117" w14:textId="77777777"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</w:rPr>
            </w:pPr>
          </w:p>
          <w:p w14:paraId="3D145F96" w14:textId="3CF0D320" w:rsidR="00FC6287" w:rsidRPr="00AB2967" w:rsidRDefault="008879EF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7DE036F5" wp14:editId="1DA94805">
                  <wp:extent cx="4791075" cy="11334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A3DA54" w14:textId="77777777"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14:paraId="15FBAFD8" w14:textId="77777777"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</w:tc>
      </w:tr>
      <w:tr w:rsidR="00375795" w14:paraId="7B10C647" w14:textId="77777777" w:rsidTr="0088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1ABA9A4" w14:textId="77777777" w:rsidR="00375795" w:rsidRPr="00375795" w:rsidRDefault="008C3C21" w:rsidP="00375795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Enlaces: </w:t>
            </w:r>
          </w:p>
        </w:tc>
        <w:tc>
          <w:tcPr>
            <w:tcW w:w="8896" w:type="dxa"/>
          </w:tcPr>
          <w:p w14:paraId="2777E907" w14:textId="2EA61CA5" w:rsidR="005C4FD9" w:rsidRDefault="008879EF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Grupo CIBER: </w:t>
            </w:r>
            <w:hyperlink r:id="rId6" w:history="1">
              <w:r w:rsidRPr="00325817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https://www.ciberisciii.es/areas-tematicas/grupo-de-investigacion?id=17121</w:t>
              </w:r>
            </w:hyperlink>
          </w:p>
          <w:p w14:paraId="4197E3F3" w14:textId="629D3DA0" w:rsidR="008879EF" w:rsidRPr="008879EF" w:rsidRDefault="008879EF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D938C4D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07A3F37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CD7E144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0E9E80F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878790B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0C85C90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193B150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A064252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D2B3228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D3017BA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90B0354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68B6F4E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E39C93E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9EA3B6C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9F6674A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CE55F8C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68F3348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EAF3E8D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3FF888E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D26878D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A2B0F80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0FE9543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1B11D9C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2C99D3A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BA16C59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AC66799" w14:textId="77777777"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8814D8B" w14:textId="77777777" w:rsidR="00484B5B" w:rsidRP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388BC2A" w14:textId="77777777" w:rsidR="00C645C6" w:rsidRDefault="00C645C6"/>
    <w:sectPr w:rsidR="00C645C6" w:rsidSect="00484B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5B"/>
    <w:rsid w:val="00375795"/>
    <w:rsid w:val="00484B5B"/>
    <w:rsid w:val="004F0AC8"/>
    <w:rsid w:val="00536811"/>
    <w:rsid w:val="005C4FD9"/>
    <w:rsid w:val="006243D8"/>
    <w:rsid w:val="00757CF0"/>
    <w:rsid w:val="0079075B"/>
    <w:rsid w:val="007F082B"/>
    <w:rsid w:val="008879EF"/>
    <w:rsid w:val="008B7B2E"/>
    <w:rsid w:val="008C3C21"/>
    <w:rsid w:val="00AB2967"/>
    <w:rsid w:val="00BC29BD"/>
    <w:rsid w:val="00C645C6"/>
    <w:rsid w:val="00D912A4"/>
    <w:rsid w:val="00FC6287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6B01"/>
  <w15:chartTrackingRefBased/>
  <w15:docId w15:val="{D0933940-5059-493A-8028-A5CA42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3757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4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FD9"/>
    <w:rPr>
      <w:color w:val="808080"/>
      <w:shd w:val="clear" w:color="auto" w:fill="E6E6E6"/>
    </w:rPr>
  </w:style>
  <w:style w:type="paragraph" w:customStyle="1" w:styleId="Default">
    <w:name w:val="Default"/>
    <w:rsid w:val="007F0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berisciii.es/areas-tematicas/grupo-de-investigacion?id=171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C977-C23D-461E-9EBC-9F769DCB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Rocío [Ciberisciii]</dc:creator>
  <cp:keywords/>
  <dc:description/>
  <cp:lastModifiedBy>Moreno, Rocío [Ciberisciii]</cp:lastModifiedBy>
  <cp:revision>2</cp:revision>
  <dcterms:created xsi:type="dcterms:W3CDTF">2021-10-07T12:38:00Z</dcterms:created>
  <dcterms:modified xsi:type="dcterms:W3CDTF">2021-10-07T12:38:00Z</dcterms:modified>
</cp:coreProperties>
</file>